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F2301D" w:rsidRPr="00F2301D" w:rsidTr="002C5059">
        <w:tc>
          <w:tcPr>
            <w:tcW w:w="9778" w:type="dxa"/>
          </w:tcPr>
          <w:p w:rsidR="00F2301D" w:rsidRPr="00F2301D" w:rsidRDefault="00F2301D" w:rsidP="00F2301D">
            <w:pPr>
              <w:pStyle w:val="Titolo1"/>
              <w:spacing w:after="200"/>
              <w:contextualSpacing/>
              <w:jc w:val="left"/>
              <w:outlineLvl w:val="0"/>
              <w:rPr>
                <w:rFonts w:ascii="Times New Roman" w:hAnsi="Times New Roman" w:cs="Times New Roman"/>
              </w:rPr>
            </w:pPr>
            <w:r w:rsidRPr="00F2301D">
              <w:rPr>
                <w:rFonts w:ascii="Times New Roman" w:hAnsi="Times New Roman" w:cs="Times New Roman"/>
              </w:rPr>
              <w:t>LO</w:t>
            </w:r>
            <w:bookmarkStart w:id="0" w:name="_Toc102664154"/>
            <w:r w:rsidRPr="00F2301D">
              <w:rPr>
                <w:rFonts w:ascii="Times New Roman" w:hAnsi="Times New Roman" w:cs="Times New Roman"/>
              </w:rPr>
              <w:t xml:space="preserve">TTO 8 </w:t>
            </w:r>
            <w:bookmarkEnd w:id="0"/>
            <w:r w:rsidRPr="00F2301D">
              <w:rPr>
                <w:rFonts w:ascii="Times New Roman" w:hAnsi="Times New Roman" w:cs="Times New Roman"/>
              </w:rPr>
              <w:t>FORNITURA DI UN SISTEMA ANALITICO PER ANALISI SIEROLOGICHE PER EPATITI/HIV Ag/Ab</w:t>
            </w:r>
          </w:p>
        </w:tc>
      </w:tr>
    </w:tbl>
    <w:p w:rsidR="00F2301D" w:rsidRDefault="00F2301D" w:rsidP="00F2301D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629"/>
        <w:gridCol w:w="3149"/>
      </w:tblGrid>
      <w:tr w:rsidR="00F2301D" w:rsidTr="00011394">
        <w:tc>
          <w:tcPr>
            <w:tcW w:w="6629" w:type="dxa"/>
            <w:vAlign w:val="center"/>
          </w:tcPr>
          <w:p w:rsidR="00F2301D" w:rsidRPr="00617608" w:rsidRDefault="00F2301D" w:rsidP="00C8762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  <w:r w:rsidRPr="001D11BC">
              <w:rPr>
                <w:rFonts w:ascii="Times New Roman" w:hAnsi="Times New Roman" w:cs="Times New Roman"/>
                <w:b/>
              </w:rPr>
              <w:t xml:space="preserve">ARATTERISTICHE </w:t>
            </w:r>
            <w:r>
              <w:rPr>
                <w:rFonts w:ascii="Times New Roman" w:hAnsi="Times New Roman" w:cs="Times New Roman"/>
                <w:b/>
              </w:rPr>
              <w:t>MINIME</w:t>
            </w:r>
          </w:p>
        </w:tc>
        <w:tc>
          <w:tcPr>
            <w:tcW w:w="3149" w:type="dxa"/>
          </w:tcPr>
          <w:p w:rsidR="00F2301D" w:rsidRPr="00A45BA4" w:rsidRDefault="00F2301D" w:rsidP="00C8762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3A3A3A"/>
                <w:sz w:val="24"/>
                <w:szCs w:val="24"/>
                <w:lang w:eastAsia="it-IT"/>
              </w:rPr>
            </w:pPr>
            <w:r w:rsidRPr="00A45BA4">
              <w:rPr>
                <w:rFonts w:ascii="Times New Roman" w:hAnsi="Times New Roman"/>
                <w:b/>
                <w:szCs w:val="24"/>
              </w:rPr>
              <w:t>Indicare pagina/capitolo/paragrafo/riga di riferimento del progetto o la documentazione di riferimento</w:t>
            </w:r>
          </w:p>
        </w:tc>
      </w:tr>
      <w:tr w:rsidR="00F2301D" w:rsidTr="00011394">
        <w:tc>
          <w:tcPr>
            <w:tcW w:w="6629" w:type="dxa"/>
          </w:tcPr>
          <w:p w:rsidR="00011394" w:rsidRPr="00516377" w:rsidRDefault="00011394" w:rsidP="0001139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1637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STRUMENTAZIONE ANALITICA:</w:t>
            </w:r>
          </w:p>
          <w:p w:rsidR="00011394" w:rsidRPr="00516377" w:rsidRDefault="00011394" w:rsidP="000113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394" w:rsidRPr="00516377" w:rsidRDefault="00011394" w:rsidP="00011394">
            <w:pPr>
              <w:widowControl/>
              <w:numPr>
                <w:ilvl w:val="0"/>
                <w:numId w:val="2"/>
              </w:numPr>
              <w:autoSpaceDE/>
              <w:spacing w:after="200"/>
              <w:ind w:left="426" w:hanging="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Analizzatori, non ricondizionati, di ultima generazione (ossia tecnologicamente avanzati e presenti sul mercato), corredati di tutti gli accessori necessari al buon funzionamento ed alla completa ed ottimale esecuzione di tutti i test richiesti nessuno escluso;</w:t>
            </w:r>
          </w:p>
          <w:p w:rsidR="00011394" w:rsidRPr="00516377" w:rsidRDefault="00011394" w:rsidP="00011394">
            <w:pPr>
              <w:widowControl/>
              <w:numPr>
                <w:ilvl w:val="0"/>
                <w:numId w:val="2"/>
              </w:numPr>
              <w:autoSpaceDE/>
              <w:spacing w:after="200"/>
              <w:ind w:left="425" w:hanging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È richiesta obbligatoriamente la tecnologia in chemiluminescenza o </w:t>
            </w:r>
            <w:proofErr w:type="spellStart"/>
            <w:r w:rsidRPr="005163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elettrochemioluminescenza</w:t>
            </w:r>
            <w:proofErr w:type="spellEnd"/>
            <w:r w:rsidRPr="005163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per tutti i test in gara, in considerazione dell’elevata sensibilità, della completa automazione e della velocità di esecuzione;</w:t>
            </w:r>
          </w:p>
          <w:p w:rsidR="00011394" w:rsidRPr="00516377" w:rsidRDefault="00011394" w:rsidP="00011394">
            <w:pPr>
              <w:widowControl/>
              <w:numPr>
                <w:ilvl w:val="0"/>
                <w:numId w:val="2"/>
              </w:numPr>
              <w:autoSpaceDE/>
              <w:spacing w:after="200"/>
              <w:ind w:left="425" w:hanging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Produttività minima per singolo analizzatore almeno pari a 160 test/ora;</w:t>
            </w:r>
          </w:p>
          <w:p w:rsidR="00011394" w:rsidRPr="00516377" w:rsidRDefault="00011394" w:rsidP="00011394">
            <w:pPr>
              <w:widowControl/>
              <w:numPr>
                <w:ilvl w:val="0"/>
                <w:numId w:val="2"/>
              </w:numPr>
              <w:autoSpaceDE/>
              <w:spacing w:after="200"/>
              <w:ind w:left="425" w:hanging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Sistema analitico composto da almeno 3 analizzatori/moduli analitici identici tra loro al fine di garantire adeguata produttività, back up di sistema e </w:t>
            </w:r>
            <w:proofErr w:type="spellStart"/>
            <w:r w:rsidRPr="005163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disaster</w:t>
            </w:r>
            <w:proofErr w:type="spellEnd"/>
            <w:r w:rsidRPr="005163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163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recovery</w:t>
            </w:r>
            <w:proofErr w:type="spellEnd"/>
            <w:r w:rsidRPr="005163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vista la centralità dell’ HUB di Treviso collettore dell’intera diagnostica specifica dell’intera Azienda ULSS n. 2.</w:t>
            </w:r>
          </w:p>
          <w:p w:rsidR="00011394" w:rsidRPr="00516377" w:rsidRDefault="00011394" w:rsidP="00011394">
            <w:pPr>
              <w:widowControl/>
              <w:numPr>
                <w:ilvl w:val="0"/>
                <w:numId w:val="2"/>
              </w:numPr>
              <w:autoSpaceDE/>
              <w:spacing w:after="200"/>
              <w:ind w:left="425" w:hanging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Gli analizzatori devono essere in grado di eseguire tutti gli </w:t>
            </w:r>
            <w:proofErr w:type="spellStart"/>
            <w:r w:rsidRPr="005163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analiti</w:t>
            </w:r>
            <w:proofErr w:type="spellEnd"/>
            <w:r w:rsidRPr="005163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di cui alla tabella “Elenco Esami” nessuno escluso;</w:t>
            </w:r>
          </w:p>
          <w:p w:rsidR="00011394" w:rsidRPr="00516377" w:rsidRDefault="00011394" w:rsidP="00011394">
            <w:pPr>
              <w:widowControl/>
              <w:numPr>
                <w:ilvl w:val="0"/>
                <w:numId w:val="2"/>
              </w:numPr>
              <w:autoSpaceDE/>
              <w:spacing w:after="200"/>
              <w:ind w:left="425" w:hanging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L’analizzatore/modulo analitico principale e l’analizzatore/modulo analitico di back-up devono essere indipendenti, possedere identiche modalità di utilizzo, identiche caratteristiche e reagenti interscambiabili;</w:t>
            </w:r>
          </w:p>
          <w:p w:rsidR="00011394" w:rsidRPr="00516377" w:rsidRDefault="00011394" w:rsidP="00011394">
            <w:pPr>
              <w:widowControl/>
              <w:numPr>
                <w:ilvl w:val="0"/>
                <w:numId w:val="2"/>
              </w:numPr>
              <w:autoSpaceDE/>
              <w:spacing w:after="200"/>
              <w:ind w:left="425" w:hanging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Analizzatori completamente automatici con possibilità di eseguire test in urgenza;</w:t>
            </w:r>
          </w:p>
          <w:p w:rsidR="00011394" w:rsidRPr="00516377" w:rsidRDefault="00011394" w:rsidP="00011394">
            <w:pPr>
              <w:widowControl/>
              <w:numPr>
                <w:ilvl w:val="0"/>
                <w:numId w:val="2"/>
              </w:numPr>
              <w:autoSpaceDE/>
              <w:spacing w:after="200"/>
              <w:ind w:left="425" w:hanging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Utilizzo sia della provetta primaria sia di aliquote/coppette secondarie con lettura automatica del codice a barre;</w:t>
            </w:r>
          </w:p>
          <w:p w:rsidR="00011394" w:rsidRPr="00516377" w:rsidRDefault="00011394" w:rsidP="00011394">
            <w:pPr>
              <w:widowControl/>
              <w:numPr>
                <w:ilvl w:val="0"/>
                <w:numId w:val="2"/>
              </w:numPr>
              <w:autoSpaceDE/>
              <w:spacing w:after="200"/>
              <w:ind w:left="425" w:hanging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Gli analizzatori dovranno garantire il caricamento in continuo dei reagenti e consumabili senza interruzione della routine;</w:t>
            </w:r>
          </w:p>
          <w:p w:rsidR="00011394" w:rsidRPr="00516377" w:rsidRDefault="00011394" w:rsidP="00011394">
            <w:pPr>
              <w:widowControl/>
              <w:numPr>
                <w:ilvl w:val="0"/>
                <w:numId w:val="2"/>
              </w:numPr>
              <w:autoSpaceDE/>
              <w:spacing w:after="200"/>
              <w:ind w:left="425" w:hanging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Riconoscimento positivo dei campioni, dei reattivi, dei calibratori e dei controlli tramite codice a barre o sistemi equivalenti;</w:t>
            </w:r>
          </w:p>
          <w:p w:rsidR="00011394" w:rsidRPr="00516377" w:rsidRDefault="00011394" w:rsidP="00011394">
            <w:pPr>
              <w:widowControl/>
              <w:numPr>
                <w:ilvl w:val="0"/>
                <w:numId w:val="2"/>
              </w:numPr>
              <w:autoSpaceDE/>
              <w:spacing w:after="200"/>
              <w:ind w:left="426" w:hanging="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Monitoraggio automatico dei reagenti e consumabili on-</w:t>
            </w:r>
            <w:proofErr w:type="spellStart"/>
            <w:r w:rsidRPr="005163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board</w:t>
            </w:r>
            <w:proofErr w:type="spellEnd"/>
            <w:r w:rsidRPr="005163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con segnalazione dei valori residui;</w:t>
            </w:r>
          </w:p>
          <w:p w:rsidR="00011394" w:rsidRPr="00516377" w:rsidRDefault="00011394" w:rsidP="00011394">
            <w:pPr>
              <w:widowControl/>
              <w:numPr>
                <w:ilvl w:val="0"/>
                <w:numId w:val="2"/>
              </w:numPr>
              <w:autoSpaceDE/>
              <w:spacing w:after="200"/>
              <w:ind w:left="425" w:hanging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Presenza di sensori di livello e coagulo per campioni con segnalazione di allarme immediato;</w:t>
            </w:r>
          </w:p>
          <w:p w:rsidR="00011394" w:rsidRPr="00516377" w:rsidRDefault="00011394" w:rsidP="00011394">
            <w:pPr>
              <w:widowControl/>
              <w:numPr>
                <w:ilvl w:val="0"/>
                <w:numId w:val="2"/>
              </w:numPr>
              <w:tabs>
                <w:tab w:val="left" w:pos="426"/>
              </w:tabs>
              <w:autoSpaceDE/>
              <w:spacing w:after="200"/>
              <w:ind w:left="425" w:hanging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Dotazione di allarmi di malfunzionamento;</w:t>
            </w:r>
          </w:p>
          <w:p w:rsidR="00011394" w:rsidRPr="00516377" w:rsidRDefault="00011394" w:rsidP="00011394">
            <w:pPr>
              <w:widowControl/>
              <w:numPr>
                <w:ilvl w:val="0"/>
                <w:numId w:val="2"/>
              </w:numPr>
              <w:tabs>
                <w:tab w:val="left" w:pos="426"/>
              </w:tabs>
              <w:autoSpaceDE/>
              <w:spacing w:after="200"/>
              <w:ind w:left="425" w:hanging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Fornitura di PC, server, PC client, stampanti, stampanti </w:t>
            </w:r>
            <w:proofErr w:type="spellStart"/>
            <w:r w:rsidRPr="005163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barcode</w:t>
            </w:r>
            <w:proofErr w:type="spellEnd"/>
            <w:r w:rsidRPr="005163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lettori </w:t>
            </w:r>
            <w:proofErr w:type="spellStart"/>
            <w:r w:rsidRPr="005163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barcode</w:t>
            </w:r>
            <w:proofErr w:type="spellEnd"/>
            <w:r w:rsidRPr="005163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accessori per la stampa</w:t>
            </w:r>
            <w:bookmarkStart w:id="1" w:name="_Hlk99203142"/>
            <w:bookmarkEnd w:id="1"/>
            <w:r w:rsidRPr="005163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011394" w:rsidRDefault="00011394" w:rsidP="00011394">
            <w:pPr>
              <w:widowControl/>
              <w:numPr>
                <w:ilvl w:val="0"/>
                <w:numId w:val="2"/>
              </w:numPr>
              <w:tabs>
                <w:tab w:val="left" w:pos="426"/>
              </w:tabs>
              <w:autoSpaceDE/>
              <w:ind w:left="425" w:hanging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Gli analizzatori devono essere forniti nella versione LAS (</w:t>
            </w:r>
            <w:proofErr w:type="spellStart"/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Laboratory</w:t>
            </w:r>
            <w:proofErr w:type="spellEnd"/>
            <w:r w:rsidRPr="00516377">
              <w:rPr>
                <w:rFonts w:ascii="Times New Roman" w:hAnsi="Times New Roman" w:cs="Times New Roman"/>
                <w:sz w:val="24"/>
                <w:szCs w:val="24"/>
              </w:rPr>
              <w:t xml:space="preserve"> Automation System), da interfacciare </w:t>
            </w:r>
            <w:proofErr w:type="spellStart"/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elettromeccanicamente</w:t>
            </w:r>
            <w:proofErr w:type="spellEnd"/>
            <w:r w:rsidRPr="00516377">
              <w:rPr>
                <w:rFonts w:ascii="Times New Roman" w:hAnsi="Times New Roman" w:cs="Times New Roman"/>
                <w:sz w:val="24"/>
                <w:szCs w:val="24"/>
              </w:rPr>
              <w:t xml:space="preserve"> ed </w:t>
            </w:r>
            <w:proofErr w:type="spellStart"/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informaticamente</w:t>
            </w:r>
            <w:proofErr w:type="spellEnd"/>
            <w:r w:rsidRPr="00516377">
              <w:rPr>
                <w:rFonts w:ascii="Times New Roman" w:hAnsi="Times New Roman" w:cs="Times New Roman"/>
                <w:sz w:val="24"/>
                <w:szCs w:val="24"/>
              </w:rPr>
              <w:t xml:space="preserve"> al sistema di automazione di cui al lotto 2, mantenendo la possibilità di </w:t>
            </w:r>
            <w:r w:rsidRPr="005163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carico frontale di campioni, calibratori e controlli di qualità. Le interfacce dovranno essere singole per ogni singolo modulo analitico offerto (A titolo esemplificativo n. x moduli analitici complessivi offerti si interfacceranno al sistema di automazione tramite n. x differenti punti di campionamento indipendenti tra di loro). La fornitura si intende completa di tutti i servizi d’installazione e manutenzione necessari per il corretto funzionamento in modalità LAS, che si ritiene obbligatorio per questo lotto;</w:t>
            </w:r>
          </w:p>
          <w:p w:rsidR="00011394" w:rsidRPr="00E05AEE" w:rsidRDefault="00011394" w:rsidP="00011394">
            <w:pPr>
              <w:widowControl/>
              <w:numPr>
                <w:ilvl w:val="0"/>
                <w:numId w:val="2"/>
              </w:numPr>
              <w:tabs>
                <w:tab w:val="left" w:pos="426"/>
              </w:tabs>
              <w:autoSpaceDE/>
              <w:ind w:left="425" w:hanging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AE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Gli analizzatori devono essere connessi con interfacciamento informatico bidirezionale al </w:t>
            </w:r>
            <w:proofErr w:type="spellStart"/>
            <w:r w:rsidRPr="00E05AE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Middleware</w:t>
            </w:r>
            <w:proofErr w:type="spellEnd"/>
            <w:r w:rsidRPr="00E05AE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fornito dall’aggiudicatario del lotto 2</w:t>
            </w:r>
            <w:r w:rsidRPr="00E05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E05A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E’ in capo all’aggiudicatario del lotto 2 lo sviluppo tecnico e il collaudo dei driver di comunicazione,</w:t>
            </w:r>
            <w:r w:rsidRPr="00E05A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adeguandosi alle specifiche di interfacciamento dell’analizzatore in versione LAS (</w:t>
            </w:r>
            <w:proofErr w:type="spellStart"/>
            <w:r w:rsidRPr="00E05A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Laboratory</w:t>
            </w:r>
            <w:proofErr w:type="spellEnd"/>
            <w:r w:rsidRPr="00E05A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Automation System), se diverse da quelle standard. </w:t>
            </w:r>
            <w:r w:rsidRPr="00E05AE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Allegare le specifiche di interfacciamento.</w:t>
            </w:r>
          </w:p>
          <w:p w:rsidR="00011394" w:rsidRPr="00516377" w:rsidRDefault="00011394" w:rsidP="00011394">
            <w:pPr>
              <w:ind w:left="426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La fornitura si intende completa di tutti i servizi d’installazione e diagnosi necessari per il corretto funzionamento in modalità LAS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011394" w:rsidRDefault="00011394" w:rsidP="00011394">
            <w:pPr>
              <w:widowControl/>
              <w:numPr>
                <w:ilvl w:val="0"/>
                <w:numId w:val="2"/>
              </w:numPr>
              <w:tabs>
                <w:tab w:val="left" w:pos="426"/>
              </w:tabs>
              <w:autoSpaceDE/>
              <w:ind w:left="425" w:hanging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color w:val="000000"/>
                <w:sz w:val="24"/>
              </w:rPr>
              <w:t>Servizio di assistenza tecnica per hardware e software, con intervento on site entro 8 ore lavorative dalla chiamata dal lunedì al sabato e con intervento Domenica e Festivi in caso di guasto bloccante. Servizio di assistenza telefonica fornito da operatori specializzati per hardware e software 7 gg su 7 disponibile 24 ore al giorno</w:t>
            </w:r>
          </w:p>
          <w:p w:rsidR="00011394" w:rsidRPr="00516377" w:rsidRDefault="00011394" w:rsidP="00011394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  <w:p w:rsidR="00F2301D" w:rsidRDefault="00F2301D" w:rsidP="00011394"/>
        </w:tc>
        <w:tc>
          <w:tcPr>
            <w:tcW w:w="3149" w:type="dxa"/>
          </w:tcPr>
          <w:p w:rsidR="00F2301D" w:rsidRDefault="00F2301D" w:rsidP="00F2301D"/>
        </w:tc>
      </w:tr>
      <w:tr w:rsidR="00F2301D" w:rsidTr="00011394">
        <w:tc>
          <w:tcPr>
            <w:tcW w:w="6629" w:type="dxa"/>
          </w:tcPr>
          <w:p w:rsidR="00F2301D" w:rsidRDefault="00F2301D" w:rsidP="00F2301D"/>
        </w:tc>
        <w:tc>
          <w:tcPr>
            <w:tcW w:w="3149" w:type="dxa"/>
          </w:tcPr>
          <w:p w:rsidR="00F2301D" w:rsidRDefault="00F2301D" w:rsidP="00F2301D"/>
        </w:tc>
      </w:tr>
      <w:tr w:rsidR="00F2301D" w:rsidTr="00011394">
        <w:tc>
          <w:tcPr>
            <w:tcW w:w="6629" w:type="dxa"/>
          </w:tcPr>
          <w:p w:rsidR="00487853" w:rsidRPr="00516377" w:rsidRDefault="00487853" w:rsidP="00487853">
            <w:pPr>
              <w:pStyle w:val="Standard"/>
              <w:spacing w:after="120"/>
              <w:ind w:left="284" w:hanging="284"/>
              <w:contextualSpacing/>
              <w:rPr>
                <w:b/>
                <w:szCs w:val="24"/>
                <w:shd w:val="clear" w:color="auto" w:fill="FFFFFF"/>
              </w:rPr>
            </w:pPr>
            <w:r w:rsidRPr="00516377">
              <w:rPr>
                <w:b/>
                <w:szCs w:val="24"/>
                <w:shd w:val="clear" w:color="auto" w:fill="FFFFFF"/>
              </w:rPr>
              <w:t>REAGENTI, CALIBRATORI, MATERIALI DI CONTROLLO E CONSUMABILI:</w:t>
            </w:r>
          </w:p>
          <w:p w:rsidR="00487853" w:rsidRPr="00516377" w:rsidRDefault="00487853" w:rsidP="00487853">
            <w:pPr>
              <w:pStyle w:val="Standard"/>
              <w:spacing w:after="120"/>
              <w:ind w:left="284" w:hanging="284"/>
              <w:contextualSpacing/>
              <w:rPr>
                <w:szCs w:val="24"/>
              </w:rPr>
            </w:pPr>
          </w:p>
          <w:p w:rsidR="00487853" w:rsidRPr="00516377" w:rsidRDefault="00487853" w:rsidP="00487853">
            <w:pPr>
              <w:pStyle w:val="Standard"/>
              <w:numPr>
                <w:ilvl w:val="0"/>
                <w:numId w:val="3"/>
              </w:numPr>
              <w:spacing w:after="120"/>
              <w:ind w:left="284" w:hanging="284"/>
              <w:contextualSpacing/>
              <w:jc w:val="both"/>
              <w:rPr>
                <w:szCs w:val="24"/>
              </w:rPr>
            </w:pPr>
            <w:r w:rsidRPr="00516377">
              <w:rPr>
                <w:szCs w:val="24"/>
                <w:shd w:val="clear" w:color="auto" w:fill="FFFFFF"/>
              </w:rPr>
              <w:t>La fornitura deve essere comprensiva di reagenti, calibratori, controlli proprietari per la validazione della calibrazione, consumabili e tutto quanto necessario al corretto utilizzo del sistema in linea con i carichi di lavoro/sedute analitiche</w:t>
            </w:r>
            <w:r>
              <w:rPr>
                <w:szCs w:val="24"/>
                <w:shd w:val="clear" w:color="auto" w:fill="FFFFFF"/>
              </w:rPr>
              <w:t xml:space="preserve"> </w:t>
            </w:r>
            <w:r w:rsidRPr="00516377">
              <w:rPr>
                <w:szCs w:val="24"/>
                <w:shd w:val="clear" w:color="auto" w:fill="FFFFFF"/>
              </w:rPr>
              <w:t>elencate nell’Elenco Esami;</w:t>
            </w:r>
          </w:p>
          <w:p w:rsidR="00487853" w:rsidRPr="00516377" w:rsidRDefault="00487853" w:rsidP="00487853">
            <w:pPr>
              <w:pStyle w:val="Standard"/>
              <w:numPr>
                <w:ilvl w:val="0"/>
                <w:numId w:val="3"/>
              </w:numPr>
              <w:spacing w:after="120"/>
              <w:ind w:left="284" w:hanging="284"/>
              <w:contextualSpacing/>
              <w:jc w:val="both"/>
              <w:rPr>
                <w:szCs w:val="24"/>
              </w:rPr>
            </w:pPr>
            <w:r w:rsidRPr="00516377">
              <w:rPr>
                <w:szCs w:val="24"/>
                <w:shd w:val="clear" w:color="auto" w:fill="FFFFFF"/>
              </w:rPr>
              <w:t xml:space="preserve">Reagenti in grado di rilevare </w:t>
            </w:r>
            <w:proofErr w:type="spellStart"/>
            <w:r w:rsidRPr="00516377">
              <w:rPr>
                <w:szCs w:val="24"/>
                <w:shd w:val="clear" w:color="auto" w:fill="FFFFFF"/>
              </w:rPr>
              <w:t>HBs</w:t>
            </w:r>
            <w:proofErr w:type="spellEnd"/>
            <w:r w:rsidRPr="00516377">
              <w:rPr>
                <w:szCs w:val="24"/>
                <w:shd w:val="clear" w:color="auto" w:fill="FFFFFF"/>
              </w:rPr>
              <w:t xml:space="preserve"> Ag standardizzato contro il II WHO;</w:t>
            </w:r>
          </w:p>
          <w:p w:rsidR="00487853" w:rsidRPr="00516377" w:rsidRDefault="00487853" w:rsidP="00487853">
            <w:pPr>
              <w:pStyle w:val="Standard"/>
              <w:numPr>
                <w:ilvl w:val="0"/>
                <w:numId w:val="3"/>
              </w:numPr>
              <w:spacing w:after="120"/>
              <w:ind w:left="284" w:hanging="284"/>
              <w:contextualSpacing/>
              <w:jc w:val="both"/>
              <w:rPr>
                <w:szCs w:val="24"/>
              </w:rPr>
            </w:pPr>
            <w:r w:rsidRPr="00516377">
              <w:rPr>
                <w:szCs w:val="24"/>
                <w:shd w:val="clear" w:color="auto" w:fill="FFFFFF"/>
              </w:rPr>
              <w:t>Reagenti in grado di rilevare anticorpi HIV1 HIV2 e antigene p24;</w:t>
            </w:r>
          </w:p>
          <w:p w:rsidR="00487853" w:rsidRPr="004F042E" w:rsidRDefault="00487853" w:rsidP="00487853">
            <w:pPr>
              <w:pStyle w:val="Standard"/>
              <w:numPr>
                <w:ilvl w:val="0"/>
                <w:numId w:val="3"/>
              </w:numPr>
              <w:spacing w:after="120"/>
              <w:ind w:left="284" w:hanging="284"/>
              <w:contextualSpacing/>
              <w:jc w:val="both"/>
              <w:rPr>
                <w:szCs w:val="24"/>
              </w:rPr>
            </w:pPr>
            <w:r w:rsidRPr="00516377">
              <w:rPr>
                <w:szCs w:val="24"/>
                <w:shd w:val="clear" w:color="auto" w:fill="FFFFFF"/>
              </w:rPr>
              <w:t>Calibratori previsti per le determinazioni indicate in quantità dipendente dalla documentata stabilità di calibrazione, sufficienti per l’esecuzione del carico di lavoro e la cadenza analitica indicati e relativi controlli proprietari per la validazione della calibrazione.</w:t>
            </w:r>
          </w:p>
          <w:p w:rsidR="004F042E" w:rsidRDefault="004F042E" w:rsidP="004F042E">
            <w:pPr>
              <w:pStyle w:val="Standard"/>
              <w:spacing w:after="120"/>
              <w:contextualSpacing/>
              <w:jc w:val="both"/>
              <w:rPr>
                <w:szCs w:val="24"/>
                <w:shd w:val="clear" w:color="auto" w:fill="FFFFFF"/>
              </w:rPr>
            </w:pPr>
          </w:p>
          <w:p w:rsidR="004F042E" w:rsidRDefault="004F042E" w:rsidP="004F042E">
            <w:pPr>
              <w:pStyle w:val="Standard"/>
              <w:spacing w:after="120"/>
              <w:contextualSpacing/>
              <w:jc w:val="both"/>
              <w:rPr>
                <w:szCs w:val="24"/>
                <w:shd w:val="clear" w:color="auto" w:fill="FFFFFF"/>
              </w:rPr>
            </w:pPr>
          </w:p>
          <w:p w:rsidR="004F042E" w:rsidRDefault="004F042E" w:rsidP="004F042E">
            <w:pPr>
              <w:pStyle w:val="Standard"/>
              <w:spacing w:after="120"/>
              <w:contextualSpacing/>
              <w:jc w:val="both"/>
              <w:rPr>
                <w:szCs w:val="24"/>
                <w:shd w:val="clear" w:color="auto" w:fill="FFFFFF"/>
              </w:rPr>
            </w:pPr>
          </w:p>
          <w:p w:rsidR="004F042E" w:rsidRDefault="004F042E" w:rsidP="004F042E">
            <w:pPr>
              <w:pStyle w:val="Standard"/>
              <w:spacing w:after="120"/>
              <w:contextualSpacing/>
              <w:jc w:val="both"/>
              <w:rPr>
                <w:szCs w:val="24"/>
                <w:shd w:val="clear" w:color="auto" w:fill="FFFFFF"/>
              </w:rPr>
            </w:pPr>
          </w:p>
          <w:p w:rsidR="004F042E" w:rsidRPr="00516377" w:rsidRDefault="004F042E" w:rsidP="004F042E">
            <w:pPr>
              <w:pStyle w:val="Standard"/>
              <w:spacing w:after="120"/>
              <w:contextualSpacing/>
              <w:jc w:val="both"/>
              <w:rPr>
                <w:szCs w:val="24"/>
              </w:rPr>
            </w:pPr>
            <w:bookmarkStart w:id="2" w:name="_GoBack"/>
            <w:bookmarkEnd w:id="2"/>
          </w:p>
          <w:p w:rsidR="00F2301D" w:rsidRDefault="00F2301D" w:rsidP="00F2301D"/>
        </w:tc>
        <w:tc>
          <w:tcPr>
            <w:tcW w:w="3149" w:type="dxa"/>
          </w:tcPr>
          <w:p w:rsidR="00F2301D" w:rsidRDefault="00F2301D" w:rsidP="00F2301D"/>
        </w:tc>
      </w:tr>
      <w:tr w:rsidR="007433F4" w:rsidTr="00011394">
        <w:trPr>
          <w:trHeight w:val="20"/>
        </w:trPr>
        <w:tc>
          <w:tcPr>
            <w:tcW w:w="6629" w:type="dxa"/>
            <w:hideMark/>
          </w:tcPr>
          <w:p w:rsidR="007433F4" w:rsidRDefault="007433F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CARATTERISTICHE PREFERENZIALI</w:t>
            </w:r>
          </w:p>
        </w:tc>
        <w:tc>
          <w:tcPr>
            <w:tcW w:w="3149" w:type="dxa"/>
            <w:hideMark/>
          </w:tcPr>
          <w:p w:rsidR="007433F4" w:rsidRDefault="007433F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3A3A3A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szCs w:val="24"/>
              </w:rPr>
              <w:t>Indicare pagina/capitolo/paragrafo/riga di riferimento del progetto o la documentazione di riferimento</w:t>
            </w:r>
          </w:p>
        </w:tc>
      </w:tr>
      <w:tr w:rsidR="007433F4" w:rsidTr="00011394">
        <w:trPr>
          <w:trHeight w:val="20"/>
        </w:trPr>
        <w:tc>
          <w:tcPr>
            <w:tcW w:w="6629" w:type="dxa"/>
          </w:tcPr>
          <w:p w:rsidR="007433F4" w:rsidRDefault="007433F4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149" w:type="dxa"/>
          </w:tcPr>
          <w:p w:rsidR="007433F4" w:rsidRDefault="007433F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87853" w:rsidTr="00011394">
        <w:trPr>
          <w:trHeight w:val="20"/>
        </w:trPr>
        <w:tc>
          <w:tcPr>
            <w:tcW w:w="6629" w:type="dxa"/>
          </w:tcPr>
          <w:p w:rsidR="00487853" w:rsidRPr="001D11BC" w:rsidRDefault="00487853" w:rsidP="00F865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Caratteristiche della soluzione analitica e dell'architettura diagnostica. Sarà valutata positivamente, con riferimento all’esecuzione del pannello analitico richiesto, l’utilizzo di metodi analitici in chimica liquida.</w:t>
            </w:r>
          </w:p>
          <w:p w:rsidR="00487853" w:rsidRPr="001D11BC" w:rsidRDefault="00487853" w:rsidP="00F8658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3149" w:type="dxa"/>
          </w:tcPr>
          <w:p w:rsidR="00487853" w:rsidRDefault="0048785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87853" w:rsidTr="00011394">
        <w:trPr>
          <w:trHeight w:val="20"/>
        </w:trPr>
        <w:tc>
          <w:tcPr>
            <w:tcW w:w="6629" w:type="dxa"/>
          </w:tcPr>
          <w:p w:rsidR="00487853" w:rsidRPr="001D11BC" w:rsidRDefault="00487853" w:rsidP="00F865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Caratteristiche della soluzione analitica relativamente alle esigenze cliniche peculiari dell’area funzionale descritte nel progetto tecnico a base di gara.</w:t>
            </w:r>
          </w:p>
          <w:p w:rsidR="00487853" w:rsidRPr="001D11BC" w:rsidRDefault="00487853" w:rsidP="00F865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Sarà valutata positivamente la proposta che consenta l'ottimizzazione delle risorse umane e la completa tracciabilità del campione. Relazionare</w:t>
            </w:r>
          </w:p>
          <w:p w:rsidR="00487853" w:rsidRPr="001D11BC" w:rsidRDefault="00487853" w:rsidP="00F8658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3149" w:type="dxa"/>
          </w:tcPr>
          <w:p w:rsidR="00487853" w:rsidRDefault="0048785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87853" w:rsidTr="00011394">
        <w:trPr>
          <w:trHeight w:val="20"/>
        </w:trPr>
        <w:tc>
          <w:tcPr>
            <w:tcW w:w="6629" w:type="dxa"/>
          </w:tcPr>
          <w:p w:rsidR="00487853" w:rsidRPr="001D11BC" w:rsidRDefault="00487853" w:rsidP="00F865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487853" w:rsidRPr="001D11BC" w:rsidRDefault="00487853" w:rsidP="00F86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Elenco forniture attive sul territorio nazionale in riferimento a installazioni di pari tipologia e complessità (strumentazioni dedicate all'ambito sierologia diagnostica non trasfusionale). </w:t>
            </w:r>
          </w:p>
          <w:p w:rsidR="00487853" w:rsidRPr="001D11BC" w:rsidRDefault="00487853" w:rsidP="00F86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Relazionare.</w:t>
            </w:r>
          </w:p>
          <w:p w:rsidR="00487853" w:rsidRPr="001D11BC" w:rsidRDefault="00487853" w:rsidP="00F86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149" w:type="dxa"/>
          </w:tcPr>
          <w:p w:rsidR="00487853" w:rsidRDefault="0048785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87853" w:rsidTr="00011394">
        <w:trPr>
          <w:trHeight w:val="20"/>
        </w:trPr>
        <w:tc>
          <w:tcPr>
            <w:tcW w:w="6629" w:type="dxa"/>
          </w:tcPr>
          <w:p w:rsidR="00487853" w:rsidRPr="001D11BC" w:rsidRDefault="00487853" w:rsidP="00F865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Caratteristiche tecniche del sistema di connessione fisica degli analizzatori. In conformità allo standard approvato CLSI AUTO05-A, relativo alle interfacce elettromeccaniche; sarà premiato l’analizzatore in grado di connettersi fisicamente al sistema d'automazione con modalità di campionamento diretto sul sistema di trasporto (Point Of Reference). Relazionare.</w:t>
            </w:r>
          </w:p>
          <w:p w:rsidR="00487853" w:rsidRPr="001D11BC" w:rsidRDefault="00487853" w:rsidP="00F865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3149" w:type="dxa"/>
          </w:tcPr>
          <w:p w:rsidR="00487853" w:rsidRDefault="0048785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87853" w:rsidTr="00011394">
        <w:trPr>
          <w:trHeight w:val="20"/>
        </w:trPr>
        <w:tc>
          <w:tcPr>
            <w:tcW w:w="6629" w:type="dxa"/>
          </w:tcPr>
          <w:p w:rsidR="00487853" w:rsidRPr="001D11BC" w:rsidRDefault="00487853" w:rsidP="00F865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Analizzatori in grado di minimizzare le non conformità derivanti da problematiche di trascinamento relative a campioni e reagenti.</w:t>
            </w:r>
          </w:p>
          <w:p w:rsidR="004F042E" w:rsidRDefault="004F042E" w:rsidP="00F865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  <w:r w:rsidR="00487853"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utilizzo di puntale monouso per campioni e reagenti </w:t>
            </w:r>
          </w:p>
          <w:p w:rsidR="004F042E" w:rsidRDefault="00487853" w:rsidP="00F865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con utilizzo di puntale monouso solo per campioni o solo per reagenti </w:t>
            </w:r>
          </w:p>
          <w:p w:rsidR="00487853" w:rsidRPr="001D11BC" w:rsidRDefault="00487853" w:rsidP="00F865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con processi di lavaggio sonda, </w:t>
            </w:r>
            <w:r w:rsidR="0093408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per minimizzazione </w:t>
            </w:r>
            <w:proofErr w:type="spellStart"/>
            <w:r w:rsidR="0093408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carry</w:t>
            </w:r>
            <w:proofErr w:type="spellEnd"/>
            <w:r w:rsidR="0093408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-over </w:t>
            </w:r>
          </w:p>
          <w:p w:rsidR="00487853" w:rsidRPr="001D11BC" w:rsidRDefault="00487853" w:rsidP="00F865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149" w:type="dxa"/>
          </w:tcPr>
          <w:p w:rsidR="00487853" w:rsidRDefault="0048785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87853" w:rsidTr="00011394">
        <w:trPr>
          <w:trHeight w:val="20"/>
        </w:trPr>
        <w:tc>
          <w:tcPr>
            <w:tcW w:w="6629" w:type="dxa"/>
          </w:tcPr>
          <w:p w:rsidR="00487853" w:rsidRPr="001D11BC" w:rsidRDefault="00487853" w:rsidP="00F86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Al fine di garantire la più adeguata performance in termini di </w:t>
            </w:r>
            <w:proofErr w:type="spellStart"/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troughput</w:t>
            </w:r>
            <w:proofErr w:type="spellEnd"/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strumentale per far fronte ai carichi di lavoro di cui all’Elenco Esami verrà attribuito il punteggio massimo alla maggiore produttività per singolo analizzatore/modulo analitico: numero di test/h.</w:t>
            </w:r>
          </w:p>
          <w:p w:rsidR="00487853" w:rsidRPr="001D11BC" w:rsidRDefault="00487853" w:rsidP="00F86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149" w:type="dxa"/>
          </w:tcPr>
          <w:p w:rsidR="00487853" w:rsidRDefault="0048785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87853" w:rsidTr="00011394">
        <w:trPr>
          <w:trHeight w:val="20"/>
        </w:trPr>
        <w:tc>
          <w:tcPr>
            <w:tcW w:w="6629" w:type="dxa"/>
          </w:tcPr>
          <w:p w:rsidR="00487853" w:rsidRPr="001D11BC" w:rsidRDefault="00487853" w:rsidP="00F86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Massimizzazione degli spazi: sarà assegnato il massimo punteggio allo strumento con il minor ingombro complessivo. Dichiarare lunghezza, profondità e ingombro in metri quadri dello strumento offerto comprensivo di tutti gli elementi necessari al funzionamento (stazione di carico campioni e stazione di analisi) documentando il dato con un riferimento alla scheda tecnica o al </w:t>
            </w: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lastRenderedPageBreak/>
              <w:t>manuale operatore.</w:t>
            </w:r>
          </w:p>
          <w:p w:rsidR="00487853" w:rsidRPr="001D11BC" w:rsidRDefault="00487853" w:rsidP="00F865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149" w:type="dxa"/>
          </w:tcPr>
          <w:p w:rsidR="00487853" w:rsidRDefault="0048785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87853" w:rsidTr="00011394">
        <w:trPr>
          <w:trHeight w:val="20"/>
        </w:trPr>
        <w:tc>
          <w:tcPr>
            <w:tcW w:w="6629" w:type="dxa"/>
          </w:tcPr>
          <w:p w:rsidR="00487853" w:rsidRPr="001D11BC" w:rsidRDefault="00487853" w:rsidP="00F865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149" w:type="dxa"/>
          </w:tcPr>
          <w:p w:rsidR="00487853" w:rsidRDefault="0048785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87853" w:rsidTr="00011394">
        <w:trPr>
          <w:trHeight w:val="20"/>
        </w:trPr>
        <w:tc>
          <w:tcPr>
            <w:tcW w:w="6629" w:type="dxa"/>
          </w:tcPr>
          <w:p w:rsidR="00487853" w:rsidRPr="001D11BC" w:rsidRDefault="00487853" w:rsidP="00F865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Possibilità di stazionamento dei controlli in vano a temperatura refrigerata presente in ognuno dei singoli analizzatori/moduli analitici proposti.</w:t>
            </w:r>
          </w:p>
          <w:p w:rsidR="00487853" w:rsidRPr="001D11BC" w:rsidRDefault="00487853" w:rsidP="009340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149" w:type="dxa"/>
          </w:tcPr>
          <w:p w:rsidR="00487853" w:rsidRDefault="0048785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87853" w:rsidTr="00011394">
        <w:trPr>
          <w:trHeight w:val="20"/>
        </w:trPr>
        <w:tc>
          <w:tcPr>
            <w:tcW w:w="6629" w:type="dxa"/>
          </w:tcPr>
          <w:p w:rsidR="00487853" w:rsidRPr="001D11BC" w:rsidRDefault="00487853" w:rsidP="00F86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Tempo di uscita risultato per i test richiesti. Verrà attribuito il punteggio maggiore al tempo di uscita inferiore. In caso in cui i test abbiano tempi di uscita del risultato diversi tra loro verrà preso in riferimento, per l’attribuzione del punteggio, il tempo di uscita maggiore.</w:t>
            </w:r>
          </w:p>
          <w:p w:rsidR="00487853" w:rsidRPr="001D11BC" w:rsidRDefault="00487853" w:rsidP="009340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149" w:type="dxa"/>
          </w:tcPr>
          <w:p w:rsidR="00487853" w:rsidRDefault="0048785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87853" w:rsidTr="00011394">
        <w:trPr>
          <w:trHeight w:val="20"/>
        </w:trPr>
        <w:tc>
          <w:tcPr>
            <w:tcW w:w="6629" w:type="dxa"/>
          </w:tcPr>
          <w:p w:rsidR="00487853" w:rsidRPr="001D11BC" w:rsidRDefault="00487853" w:rsidP="00F86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Reagenti pronti all’uso. Il concorrente deve documentare il calcolo in modo analitico, evidenziando quali reagenti (codice prodotto e descrizione) sono pronti all'uso:</w:t>
            </w:r>
          </w:p>
          <w:p w:rsidR="00487853" w:rsidRPr="001D11BC" w:rsidRDefault="00487853" w:rsidP="009340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149" w:type="dxa"/>
          </w:tcPr>
          <w:p w:rsidR="00487853" w:rsidRDefault="0048785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87853" w:rsidTr="00011394">
        <w:trPr>
          <w:trHeight w:val="20"/>
        </w:trPr>
        <w:tc>
          <w:tcPr>
            <w:tcW w:w="6629" w:type="dxa"/>
          </w:tcPr>
          <w:p w:rsidR="00487853" w:rsidRPr="001D11BC" w:rsidRDefault="00487853" w:rsidP="00F86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Sensibilità analitica del test HIV combo Ag/Ab relativamente all'antigene p24 &lt; 0,8 UI/ml (standard internazionale WHO per l'antigene HIV-24 (codice NIBSC: 90/636)): sarà preso in considerazione solo quanto dichiarato nell'inserto ufficiale del prodotto.</w:t>
            </w:r>
          </w:p>
          <w:p w:rsidR="00487853" w:rsidRPr="001D11BC" w:rsidRDefault="00487853" w:rsidP="009340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149" w:type="dxa"/>
          </w:tcPr>
          <w:p w:rsidR="00487853" w:rsidRDefault="0048785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87853" w:rsidTr="00011394">
        <w:trPr>
          <w:trHeight w:val="20"/>
        </w:trPr>
        <w:tc>
          <w:tcPr>
            <w:tcW w:w="6629" w:type="dxa"/>
          </w:tcPr>
          <w:p w:rsidR="00487853" w:rsidRPr="001D11BC" w:rsidRDefault="00487853" w:rsidP="00F86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Sensibilità analitica per </w:t>
            </w:r>
            <w:proofErr w:type="spellStart"/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HBsAg</w:t>
            </w:r>
            <w:proofErr w:type="spellEnd"/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qualitativo (standard internazionale WHO, codice NIBSC: 00/588): sarà preso in considerazione solo quanto dichiarato nell'inserto ufficiale del prodotto.</w:t>
            </w:r>
          </w:p>
          <w:p w:rsidR="00487853" w:rsidRPr="001D11BC" w:rsidRDefault="00487853" w:rsidP="00F865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487853" w:rsidRPr="001D11BC" w:rsidRDefault="00487853" w:rsidP="009340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</w:p>
        </w:tc>
        <w:tc>
          <w:tcPr>
            <w:tcW w:w="3149" w:type="dxa"/>
          </w:tcPr>
          <w:p w:rsidR="00487853" w:rsidRDefault="0048785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87853" w:rsidTr="00011394">
        <w:trPr>
          <w:trHeight w:val="20"/>
        </w:trPr>
        <w:tc>
          <w:tcPr>
            <w:tcW w:w="6629" w:type="dxa"/>
          </w:tcPr>
          <w:p w:rsidR="00487853" w:rsidRPr="001D11BC" w:rsidRDefault="00487853" w:rsidP="00F86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HCV: test ad Ag ricombinanti, sarà premiata la </w:t>
            </w:r>
            <w:proofErr w:type="spellStart"/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capacita’</w:t>
            </w:r>
            <w:proofErr w:type="spellEnd"/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di rilevare tutte le regioni Core verso cui sono diretti gli anticorpi (NS3,NS4 e NS5). Sarà preso in considerazione solo quanto dichiarato nell'inserto ufficiale del prodotto.</w:t>
            </w:r>
          </w:p>
          <w:p w:rsidR="00487853" w:rsidRPr="001D11BC" w:rsidRDefault="00487853" w:rsidP="009340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</w:p>
        </w:tc>
        <w:tc>
          <w:tcPr>
            <w:tcW w:w="3149" w:type="dxa"/>
          </w:tcPr>
          <w:p w:rsidR="00487853" w:rsidRDefault="0048785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87853" w:rsidTr="00011394">
        <w:trPr>
          <w:trHeight w:val="20"/>
        </w:trPr>
        <w:tc>
          <w:tcPr>
            <w:tcW w:w="6629" w:type="dxa"/>
          </w:tcPr>
          <w:p w:rsidR="00487853" w:rsidRPr="001D11BC" w:rsidRDefault="00487853" w:rsidP="00F86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HBsAg</w:t>
            </w:r>
            <w:proofErr w:type="spellEnd"/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qualitativo, HCV, HIV Ag/Ab, Anti </w:t>
            </w:r>
            <w:proofErr w:type="spellStart"/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HBc</w:t>
            </w:r>
            <w:proofErr w:type="spellEnd"/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validati su campione cadaverico. </w:t>
            </w: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  <w:t>Ai fini dell'attribuzione del punteggio sarà preso in considerazione solo quanto dichiarato nell'inserto ufficiale del prodotto.</w:t>
            </w:r>
          </w:p>
          <w:p w:rsidR="00487853" w:rsidRPr="001D11BC" w:rsidRDefault="00487853" w:rsidP="00F865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487853" w:rsidRPr="001D11BC" w:rsidRDefault="00487853" w:rsidP="009340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149" w:type="dxa"/>
          </w:tcPr>
          <w:p w:rsidR="00487853" w:rsidRDefault="0048785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87853" w:rsidTr="00011394">
        <w:trPr>
          <w:trHeight w:val="20"/>
        </w:trPr>
        <w:tc>
          <w:tcPr>
            <w:tcW w:w="6629" w:type="dxa"/>
          </w:tcPr>
          <w:p w:rsidR="00487853" w:rsidRPr="001D11BC" w:rsidRDefault="00487853" w:rsidP="00F86586">
            <w:pPr>
              <w:jc w:val="both"/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  <w:lang w:eastAsia="it-IT"/>
              </w:rPr>
            </w:pPr>
          </w:p>
          <w:p w:rsidR="00487853" w:rsidRPr="001D11BC" w:rsidRDefault="00487853" w:rsidP="00F86586">
            <w:pPr>
              <w:widowControl/>
              <w:shd w:val="clear" w:color="auto" w:fill="FFFFFF"/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Verrà valutato il servizio post-vendita proposto dalla ditta nel suo complesso. In particolare verrà valutata la proposta progettuale per tempi e modalità di risoluzi</w:t>
            </w: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o</w:t>
            </w: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ne dei guasti, volta a garantire la continuità diagnostica e saranno premiate soluzioni di assistenza tecnica migliorative rispetto a quanto previsto nel capitolato sp</w:t>
            </w: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</w:t>
            </w: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ciale art. 6.2 del Capitolato Speciale Parte Seconda. </w:t>
            </w:r>
          </w:p>
          <w:p w:rsidR="00487853" w:rsidRPr="001D11BC" w:rsidRDefault="00487853" w:rsidP="00F865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487853" w:rsidRPr="001D11BC" w:rsidRDefault="00487853" w:rsidP="00F8658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3149" w:type="dxa"/>
          </w:tcPr>
          <w:p w:rsidR="00487853" w:rsidRDefault="0048785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</w:tbl>
    <w:p w:rsidR="00F2301D" w:rsidRDefault="00F2301D" w:rsidP="00F2301D"/>
    <w:sectPr w:rsidR="00F2301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7577BEC"/>
    <w:multiLevelType w:val="multilevel"/>
    <w:tmpl w:val="B742E5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315717CA"/>
    <w:multiLevelType w:val="multilevel"/>
    <w:tmpl w:val="B1E07D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CD6"/>
    <w:rsid w:val="00011394"/>
    <w:rsid w:val="00487853"/>
    <w:rsid w:val="004F042E"/>
    <w:rsid w:val="006C0ABC"/>
    <w:rsid w:val="007433F4"/>
    <w:rsid w:val="00934080"/>
    <w:rsid w:val="00D73CD6"/>
    <w:rsid w:val="00F23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2301D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Titolo1">
    <w:name w:val="heading 1"/>
    <w:basedOn w:val="Normale"/>
    <w:next w:val="Corpotesto"/>
    <w:link w:val="Titolo1Carattere"/>
    <w:qFormat/>
    <w:rsid w:val="00F2301D"/>
    <w:pPr>
      <w:numPr>
        <w:numId w:val="1"/>
      </w:numPr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F2301D"/>
    <w:rPr>
      <w:rFonts w:ascii="Calibri" w:eastAsia="Calibri" w:hAnsi="Calibri" w:cs="Calibri"/>
      <w:b/>
      <w:bCs/>
      <w:sz w:val="24"/>
      <w:szCs w:val="24"/>
      <w:lang w:eastAsia="zh-CN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F2301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2301D"/>
    <w:rPr>
      <w:rFonts w:ascii="Calibri" w:eastAsia="Calibri" w:hAnsi="Calibri" w:cs="Calibri"/>
      <w:lang w:eastAsia="zh-CN"/>
    </w:rPr>
  </w:style>
  <w:style w:type="table" w:styleId="Grigliatabella">
    <w:name w:val="Table Grid"/>
    <w:basedOn w:val="Tabellanormale"/>
    <w:uiPriority w:val="39"/>
    <w:rsid w:val="00F230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487853"/>
    <w:pPr>
      <w:suppressAutoHyphens/>
      <w:overflowPunct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2301D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Titolo1">
    <w:name w:val="heading 1"/>
    <w:basedOn w:val="Normale"/>
    <w:next w:val="Corpotesto"/>
    <w:link w:val="Titolo1Carattere"/>
    <w:qFormat/>
    <w:rsid w:val="00F2301D"/>
    <w:pPr>
      <w:numPr>
        <w:numId w:val="1"/>
      </w:numPr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F2301D"/>
    <w:rPr>
      <w:rFonts w:ascii="Calibri" w:eastAsia="Calibri" w:hAnsi="Calibri" w:cs="Calibri"/>
      <w:b/>
      <w:bCs/>
      <w:sz w:val="24"/>
      <w:szCs w:val="24"/>
      <w:lang w:eastAsia="zh-CN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F2301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2301D"/>
    <w:rPr>
      <w:rFonts w:ascii="Calibri" w:eastAsia="Calibri" w:hAnsi="Calibri" w:cs="Calibri"/>
      <w:lang w:eastAsia="zh-CN"/>
    </w:rPr>
  </w:style>
  <w:style w:type="table" w:styleId="Grigliatabella">
    <w:name w:val="Table Grid"/>
    <w:basedOn w:val="Tabellanormale"/>
    <w:uiPriority w:val="39"/>
    <w:rsid w:val="00F230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487853"/>
    <w:pPr>
      <w:suppressAutoHyphens/>
      <w:overflowPunct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7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1308</Words>
  <Characters>7460</Characters>
  <Application>Microsoft Office Word</Application>
  <DocSecurity>0</DocSecurity>
  <Lines>62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ULSS9 Treviso - COI</Company>
  <LinksUpToDate>false</LinksUpToDate>
  <CharactersWithSpaces>8751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Federico Bressan</dc:creator>
  <cp:keywords/>
  <dc:description/>
  <cp:lastModifiedBy>Raffaela Zurlo</cp:lastModifiedBy>
  <cp:revision>10</cp:revision>
  <dcterms:created xsi:type="dcterms:W3CDTF">2024-07-11T06:48:00Z</dcterms:created>
  <dcterms:modified xsi:type="dcterms:W3CDTF">2024-07-15T09:03:00Z</dcterms:modified>
</cp:coreProperties>
</file>